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9"/>
        <w:gridCol w:w="5838"/>
      </w:tblGrid>
      <w:tr w:rsidR="00767CC9" w:rsidTr="0048380D">
        <w:trPr>
          <w:jc w:val="center"/>
        </w:trPr>
        <w:tc>
          <w:tcPr>
            <w:tcW w:w="1919" w:type="dxa"/>
            <w:vAlign w:val="bottom"/>
          </w:tcPr>
          <w:p w:rsidR="00767CC9" w:rsidRDefault="00767CC9" w:rsidP="0048380D">
            <w:pPr>
              <w:adjustRightInd w:val="0"/>
              <w:snapToGrid w:val="0"/>
              <w:spacing w:line="360" w:lineRule="auto"/>
              <w:jc w:val="center"/>
              <w:rPr>
                <w:rFonts w:cs="Calibri"/>
                <w:b/>
                <w:bCs/>
                <w:szCs w:val="21"/>
                <w:lang/>
              </w:rPr>
            </w:pPr>
            <w:r>
              <w:rPr>
                <w:rFonts w:cs="Calibri"/>
                <w:b/>
                <w:bCs/>
                <w:szCs w:val="21"/>
                <w:lang/>
              </w:rPr>
              <w:t>姓名</w:t>
            </w:r>
          </w:p>
        </w:tc>
        <w:tc>
          <w:tcPr>
            <w:tcW w:w="5838" w:type="dxa"/>
            <w:vAlign w:val="bottom"/>
          </w:tcPr>
          <w:p w:rsidR="00767CC9" w:rsidRDefault="00767CC9" w:rsidP="0048380D">
            <w:pPr>
              <w:adjustRightInd w:val="0"/>
              <w:snapToGrid w:val="0"/>
              <w:spacing w:line="360" w:lineRule="auto"/>
              <w:jc w:val="center"/>
              <w:rPr>
                <w:rFonts w:cs="Calibri"/>
                <w:b/>
                <w:bCs/>
                <w:szCs w:val="21"/>
                <w:lang/>
              </w:rPr>
            </w:pPr>
            <w:r>
              <w:rPr>
                <w:rFonts w:cs="Calibri"/>
                <w:b/>
                <w:bCs/>
                <w:szCs w:val="21"/>
                <w:lang/>
              </w:rPr>
              <w:t>报告题目</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 xml:space="preserve">Dominique </w:t>
            </w:r>
            <w:proofErr w:type="spellStart"/>
            <w:r>
              <w:rPr>
                <w:rFonts w:cs="Calibri"/>
                <w:sz w:val="18"/>
                <w:szCs w:val="18"/>
                <w:lang/>
              </w:rPr>
              <w:t>Cardon</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天然染料：色彩的文化</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曾启雄</w:t>
            </w:r>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中国历史上的传统色</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 xml:space="preserve">Anne de la </w:t>
            </w:r>
            <w:proofErr w:type="spellStart"/>
            <w:r>
              <w:rPr>
                <w:rFonts w:cs="Calibri"/>
                <w:sz w:val="18"/>
                <w:szCs w:val="18"/>
                <w:lang/>
              </w:rPr>
              <w:t>Sayette</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欧洲大规模生产植物染料和植物提取物的经验及天然染料的工业化应用</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 xml:space="preserve">Richard </w:t>
            </w:r>
            <w:proofErr w:type="spellStart"/>
            <w:r>
              <w:rPr>
                <w:rFonts w:cs="Calibri"/>
                <w:sz w:val="18"/>
                <w:szCs w:val="18"/>
                <w:lang/>
              </w:rPr>
              <w:t>Laursen</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基于分析数据鉴别古代纺织染料的来源</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刘剑</w:t>
            </w:r>
            <w:r>
              <w:rPr>
                <w:rFonts w:cs="Calibri"/>
                <w:sz w:val="18"/>
                <w:szCs w:val="18"/>
                <w:lang/>
              </w:rPr>
              <w:t xml:space="preserve"> </w:t>
            </w:r>
            <w:r>
              <w:rPr>
                <w:rFonts w:cs="Calibri"/>
                <w:sz w:val="18"/>
                <w:szCs w:val="18"/>
                <w:lang/>
              </w:rPr>
              <w:t>赵丰</w:t>
            </w:r>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丝绸之路上的染料</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 xml:space="preserve">Diego </w:t>
            </w:r>
            <w:proofErr w:type="spellStart"/>
            <w:r>
              <w:rPr>
                <w:rFonts w:cs="Calibri"/>
                <w:sz w:val="18"/>
                <w:szCs w:val="18"/>
                <w:lang/>
              </w:rPr>
              <w:t>Tamburini</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综合多种技术研究大英博物馆收藏的埃及纺织品上的天然染料</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山</w:t>
            </w:r>
            <w:proofErr w:type="gramStart"/>
            <w:r>
              <w:rPr>
                <w:rFonts w:cs="Calibri"/>
                <w:sz w:val="18"/>
                <w:szCs w:val="18"/>
                <w:lang/>
              </w:rPr>
              <w:t>崎</w:t>
            </w:r>
            <w:proofErr w:type="gramEnd"/>
            <w:r>
              <w:rPr>
                <w:rFonts w:cs="Calibri"/>
                <w:sz w:val="18"/>
                <w:szCs w:val="18"/>
                <w:lang/>
              </w:rPr>
              <w:t>和树</w:t>
            </w:r>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江户时期传统染料</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proofErr w:type="spellStart"/>
            <w:r>
              <w:rPr>
                <w:rFonts w:cs="Calibri"/>
                <w:sz w:val="18"/>
                <w:szCs w:val="18"/>
                <w:lang/>
              </w:rPr>
              <w:t>Eber</w:t>
            </w:r>
            <w:proofErr w:type="spellEnd"/>
            <w:r>
              <w:rPr>
                <w:rFonts w:cs="Calibri"/>
                <w:sz w:val="18"/>
                <w:szCs w:val="18"/>
                <w:lang/>
              </w:rPr>
              <w:t xml:space="preserve"> Ferreira</w:t>
            </w:r>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可持续提取天然染料：巴西亚马逊地区染料生产保护社区的合作</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 xml:space="preserve">Anita </w:t>
            </w:r>
            <w:proofErr w:type="spellStart"/>
            <w:r>
              <w:rPr>
                <w:rFonts w:cs="Calibri"/>
                <w:sz w:val="18"/>
                <w:szCs w:val="18"/>
                <w:lang/>
              </w:rPr>
              <w:t>Quye</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重新创造：通过知识交流和研究网络理解</w:t>
            </w:r>
            <w:r>
              <w:rPr>
                <w:rFonts w:cs="Calibri"/>
                <w:sz w:val="18"/>
                <w:szCs w:val="18"/>
                <w:lang/>
              </w:rPr>
              <w:t>19</w:t>
            </w:r>
            <w:r>
              <w:rPr>
                <w:rFonts w:cs="Calibri"/>
                <w:sz w:val="18"/>
                <w:szCs w:val="18"/>
                <w:lang/>
              </w:rPr>
              <w:t>世纪苏格兰纺织品</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proofErr w:type="spellStart"/>
            <w:r>
              <w:rPr>
                <w:rFonts w:cs="Calibri"/>
                <w:sz w:val="18"/>
                <w:szCs w:val="18"/>
                <w:lang/>
              </w:rPr>
              <w:t>Rashmi</w:t>
            </w:r>
            <w:proofErr w:type="spellEnd"/>
            <w:r>
              <w:rPr>
                <w:rFonts w:cs="Calibri"/>
                <w:sz w:val="18"/>
                <w:szCs w:val="18"/>
                <w:lang/>
              </w:rPr>
              <w:t xml:space="preserve"> </w:t>
            </w:r>
            <w:proofErr w:type="spellStart"/>
            <w:r>
              <w:rPr>
                <w:rFonts w:cs="Calibri"/>
                <w:sz w:val="18"/>
                <w:szCs w:val="18"/>
                <w:lang/>
              </w:rPr>
              <w:t>Bharti</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阿瓦尼喜马拉雅蓝</w:t>
            </w:r>
            <w:r>
              <w:rPr>
                <w:rFonts w:cs="Calibri"/>
                <w:sz w:val="18"/>
                <w:szCs w:val="18"/>
                <w:lang/>
              </w:rPr>
              <w:t>——</w:t>
            </w:r>
            <w:r>
              <w:rPr>
                <w:rFonts w:cs="Calibri"/>
                <w:sz w:val="18"/>
                <w:szCs w:val="18"/>
                <w:lang/>
              </w:rPr>
              <w:t>开创印度喜马拉雅地区三种靛青品种的种植</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proofErr w:type="spellStart"/>
            <w:r>
              <w:rPr>
                <w:rFonts w:cs="Calibri"/>
                <w:sz w:val="18"/>
                <w:szCs w:val="18"/>
                <w:lang/>
              </w:rPr>
              <w:t>Andrée</w:t>
            </w:r>
            <w:proofErr w:type="spellEnd"/>
            <w:r>
              <w:rPr>
                <w:rFonts w:cs="Calibri"/>
                <w:sz w:val="18"/>
                <w:szCs w:val="18"/>
                <w:lang/>
              </w:rPr>
              <w:t xml:space="preserve"> </w:t>
            </w:r>
            <w:proofErr w:type="spellStart"/>
            <w:r>
              <w:rPr>
                <w:rFonts w:cs="Calibri"/>
                <w:sz w:val="18"/>
                <w:szCs w:val="18"/>
                <w:lang/>
              </w:rPr>
              <w:t>Etheve</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马达加斯加保持并发展传统天然染色：拉菲亚扎经染色与野蚕丝</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proofErr w:type="spellStart"/>
            <w:r>
              <w:rPr>
                <w:rFonts w:cs="Calibri"/>
                <w:sz w:val="18"/>
                <w:szCs w:val="18"/>
                <w:lang/>
              </w:rPr>
              <w:t>Aboubakar</w:t>
            </w:r>
            <w:proofErr w:type="spellEnd"/>
            <w:r>
              <w:rPr>
                <w:rFonts w:cs="Calibri"/>
                <w:sz w:val="18"/>
                <w:szCs w:val="18"/>
                <w:lang/>
              </w:rPr>
              <w:t xml:space="preserve"> </w:t>
            </w:r>
            <w:proofErr w:type="spellStart"/>
            <w:r>
              <w:rPr>
                <w:rFonts w:cs="Calibri"/>
                <w:sz w:val="18"/>
                <w:szCs w:val="18"/>
                <w:lang/>
              </w:rPr>
              <w:t>Fofana</w:t>
            </w:r>
            <w:proofErr w:type="spellEnd"/>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靛青染色在当代艺术中的应用</w:t>
            </w:r>
          </w:p>
        </w:tc>
      </w:tr>
      <w:tr w:rsidR="00767CC9" w:rsidTr="0048380D">
        <w:trPr>
          <w:jc w:val="center"/>
        </w:trPr>
        <w:tc>
          <w:tcPr>
            <w:tcW w:w="1919"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Kathy Hattori</w:t>
            </w:r>
          </w:p>
        </w:tc>
        <w:tc>
          <w:tcPr>
            <w:tcW w:w="5838" w:type="dxa"/>
            <w:vAlign w:val="bottom"/>
          </w:tcPr>
          <w:p w:rsidR="00767CC9" w:rsidRDefault="00767CC9" w:rsidP="0048380D">
            <w:pPr>
              <w:adjustRightInd w:val="0"/>
              <w:snapToGrid w:val="0"/>
              <w:spacing w:line="360" w:lineRule="auto"/>
              <w:jc w:val="left"/>
              <w:rPr>
                <w:rFonts w:cs="Calibri"/>
                <w:sz w:val="18"/>
                <w:szCs w:val="18"/>
                <w:lang/>
              </w:rPr>
            </w:pPr>
            <w:r>
              <w:rPr>
                <w:rFonts w:cs="Calibri"/>
                <w:sz w:val="18"/>
                <w:szCs w:val="18"/>
                <w:lang/>
              </w:rPr>
              <w:t>美国</w:t>
            </w:r>
            <w:r>
              <w:rPr>
                <w:rFonts w:cs="Calibri"/>
                <w:sz w:val="18"/>
                <w:szCs w:val="18"/>
                <w:lang/>
              </w:rPr>
              <w:t>“</w:t>
            </w:r>
            <w:r>
              <w:rPr>
                <w:rFonts w:cs="Calibri"/>
                <w:sz w:val="18"/>
                <w:szCs w:val="18"/>
                <w:lang/>
              </w:rPr>
              <w:t>慢时尚</w:t>
            </w:r>
            <w:r>
              <w:rPr>
                <w:rFonts w:cs="Calibri"/>
                <w:sz w:val="18"/>
                <w:szCs w:val="18"/>
                <w:lang/>
              </w:rPr>
              <w:t>”</w:t>
            </w:r>
            <w:r>
              <w:rPr>
                <w:rFonts w:cs="Calibri"/>
                <w:sz w:val="18"/>
                <w:szCs w:val="18"/>
                <w:lang/>
              </w:rPr>
              <w:t>中天然染料生产到染色</w:t>
            </w:r>
          </w:p>
        </w:tc>
      </w:tr>
    </w:tbl>
    <w:p w:rsidR="00942660" w:rsidRPr="00767CC9" w:rsidRDefault="00942660"/>
    <w:sectPr w:rsidR="00942660" w:rsidRPr="00767CC9" w:rsidSect="009426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CC9"/>
    <w:rsid w:val="00767CC9"/>
    <w:rsid w:val="00942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2019-02-18T07:41:00Z</dcterms:created>
  <dcterms:modified xsi:type="dcterms:W3CDTF">2019-02-18T07:42:00Z</dcterms:modified>
</cp:coreProperties>
</file>